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Ind w:w="108" w:type="dxa"/>
        <w:tblLook w:val="0000" w:firstRow="0" w:lastRow="0" w:firstColumn="0" w:lastColumn="0" w:noHBand="0" w:noVBand="0"/>
      </w:tblPr>
      <w:tblGrid>
        <w:gridCol w:w="5170"/>
        <w:gridCol w:w="5170"/>
      </w:tblGrid>
      <w:tr w:rsidR="009D2FE6" w:rsidRPr="00582B14" w:rsidTr="00CD759A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9D2FE6" w:rsidRPr="00582B14" w:rsidRDefault="009D2FE6" w:rsidP="00CD759A">
            <w:pPr>
              <w:pStyle w:val="a5"/>
              <w:jc w:val="center"/>
            </w:pP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9D2FE6" w:rsidRPr="00206976" w:rsidRDefault="009D2FE6" w:rsidP="009D2FE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«СОГЛАСО</w:t>
            </w:r>
            <w:proofErr w:type="gramStart"/>
            <w:r>
              <w:rPr>
                <w:b/>
                <w:color w:val="FFFFFF"/>
                <w:sz w:val="26"/>
              </w:rPr>
              <w:t>В</w:t>
            </w:r>
            <w:r w:rsidRPr="00206976">
              <w:rPr>
                <w:rFonts w:ascii="Times New Roman" w:hAnsi="Times New Roman"/>
                <w:b/>
                <w:sz w:val="26"/>
              </w:rPr>
              <w:t>«</w:t>
            </w:r>
            <w:proofErr w:type="gramEnd"/>
            <w:r w:rsidRPr="00206976">
              <w:rPr>
                <w:rFonts w:ascii="Times New Roman" w:hAnsi="Times New Roman"/>
                <w:b/>
                <w:sz w:val="26"/>
              </w:rPr>
              <w:t>УТВЕРЖДАЮ»</w:t>
            </w:r>
          </w:p>
          <w:p w:rsidR="009D2FE6" w:rsidRDefault="009D2FE6" w:rsidP="009D2FE6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обязанности д</w:t>
            </w:r>
            <w:r w:rsidRPr="00206976">
              <w:rPr>
                <w:rFonts w:ascii="Times New Roman" w:hAnsi="Times New Roman"/>
                <w:sz w:val="26"/>
              </w:rPr>
              <w:t>иректор</w:t>
            </w:r>
            <w:r>
              <w:rPr>
                <w:rFonts w:ascii="Times New Roman" w:hAnsi="Times New Roman"/>
                <w:sz w:val="26"/>
              </w:rPr>
              <w:t>а</w:t>
            </w:r>
          </w:p>
          <w:p w:rsidR="009D2FE6" w:rsidRPr="00206976" w:rsidRDefault="009D2FE6" w:rsidP="009D2FE6">
            <w:pPr>
              <w:spacing w:after="0" w:line="240" w:lineRule="auto"/>
              <w:rPr>
                <w:color w:val="FFFFFF"/>
                <w:sz w:val="26"/>
              </w:rPr>
            </w:pPr>
            <w:r w:rsidRPr="00206976">
              <w:rPr>
                <w:rFonts w:ascii="Times New Roman" w:hAnsi="Times New Roman"/>
                <w:sz w:val="26"/>
              </w:rPr>
              <w:t>ГКУ СО «СРЦН «Огонек»                                        __________Л.И. Прохорова                 «______»_____________20__ г.</w:t>
            </w:r>
            <w:r>
              <w:rPr>
                <w:sz w:val="26"/>
              </w:rPr>
              <w:tab/>
            </w:r>
            <w:r>
              <w:rPr>
                <w:color w:val="FFFFFF"/>
                <w:sz w:val="26"/>
              </w:rPr>
              <w:t xml:space="preserve">«______»_______  </w:t>
            </w:r>
            <w:r>
              <w:rPr>
                <w:sz w:val="26"/>
              </w:rPr>
              <w:t xml:space="preserve">    </w:t>
            </w:r>
          </w:p>
          <w:p w:rsidR="009D2FE6" w:rsidRPr="0086777E" w:rsidRDefault="009D2FE6" w:rsidP="00CD759A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(утв. приказом 144 от 29.06.2020)</w:t>
            </w:r>
          </w:p>
          <w:p w:rsidR="009D2FE6" w:rsidRPr="00582B14" w:rsidRDefault="009D2FE6" w:rsidP="00CD759A">
            <w:pPr>
              <w:pStyle w:val="a6"/>
              <w:jc w:val="right"/>
            </w:pPr>
          </w:p>
        </w:tc>
      </w:tr>
    </w:tbl>
    <w:p w:rsidR="009D2FE6" w:rsidRPr="009D2FE6" w:rsidRDefault="009D2FE6" w:rsidP="009D2F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FE6">
        <w:rPr>
          <w:rFonts w:ascii="Times New Roman" w:hAnsi="Times New Roman"/>
          <w:b/>
          <w:sz w:val="28"/>
          <w:szCs w:val="28"/>
        </w:rPr>
        <w:t xml:space="preserve">Порядок защиты работников, сообщивших о коррупционных правонарушениях в деятельности </w:t>
      </w:r>
    </w:p>
    <w:p w:rsidR="009D2FE6" w:rsidRPr="009D2FE6" w:rsidRDefault="009D2FE6" w:rsidP="009D2F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2FE6">
        <w:rPr>
          <w:rFonts w:ascii="Times New Roman" w:hAnsi="Times New Roman"/>
          <w:b/>
          <w:sz w:val="28"/>
          <w:szCs w:val="28"/>
          <w:u w:val="single"/>
        </w:rPr>
        <w:t xml:space="preserve">государственного казенного учреждения Самарской области «Социально-реабилитационный центр для несовершеннолетних «Огонёк», </w:t>
      </w:r>
    </w:p>
    <w:p w:rsidR="009D2FE6" w:rsidRPr="009D2FE6" w:rsidRDefault="009D2FE6" w:rsidP="009D2F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FE6">
        <w:rPr>
          <w:rFonts w:ascii="Times New Roman" w:hAnsi="Times New Roman"/>
          <w:b/>
          <w:sz w:val="28"/>
          <w:szCs w:val="28"/>
        </w:rPr>
        <w:t>от неформальных и формальных санкций</w:t>
      </w:r>
    </w:p>
    <w:p w:rsidR="009D2FE6" w:rsidRPr="002426A5" w:rsidRDefault="009D2FE6" w:rsidP="009D2FE6">
      <w:pPr>
        <w:pStyle w:val="6"/>
        <w:numPr>
          <w:ilvl w:val="0"/>
          <w:numId w:val="8"/>
        </w:numPr>
        <w:jc w:val="center"/>
        <w:rPr>
          <w:szCs w:val="28"/>
        </w:rPr>
      </w:pPr>
      <w:r w:rsidRPr="002426A5">
        <w:rPr>
          <w:szCs w:val="28"/>
        </w:rPr>
        <w:t>Общие положения</w:t>
      </w:r>
    </w:p>
    <w:p w:rsidR="009D2FE6" w:rsidRPr="002426A5" w:rsidRDefault="009D2FE6" w:rsidP="009D2FE6">
      <w:pPr>
        <w:widowControl w:val="0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26A5">
        <w:rPr>
          <w:rFonts w:ascii="Times New Roman" w:hAnsi="Times New Roman"/>
          <w:sz w:val="28"/>
          <w:szCs w:val="28"/>
        </w:rPr>
        <w:t xml:space="preserve">Настоящий Порядок защиты работников, сообщивших о коррупционных правонарушениях в деятельности государственного казенного учреждения </w:t>
      </w:r>
      <w:proofErr w:type="spellStart"/>
      <w:r w:rsidRPr="002426A5">
        <w:rPr>
          <w:rFonts w:ascii="Times New Roman" w:hAnsi="Times New Roman"/>
          <w:sz w:val="28"/>
          <w:szCs w:val="28"/>
        </w:rPr>
        <w:t>Самарскойт</w:t>
      </w:r>
      <w:proofErr w:type="spellEnd"/>
      <w:r w:rsidRPr="002426A5">
        <w:rPr>
          <w:rFonts w:ascii="Times New Roman" w:hAnsi="Times New Roman"/>
          <w:sz w:val="28"/>
          <w:szCs w:val="28"/>
        </w:rPr>
        <w:t xml:space="preserve"> области «Социально-реабилитационный центр для несовершеннолетних «Огонёк» (далее – Учреждение), от неформальных и формальных санкций (далее Порядок) разработан в целях реализации </w:t>
      </w:r>
      <w:proofErr w:type="spellStart"/>
      <w:r w:rsidRPr="002426A5">
        <w:rPr>
          <w:rFonts w:ascii="Times New Roman" w:hAnsi="Times New Roman"/>
          <w:sz w:val="28"/>
          <w:szCs w:val="28"/>
        </w:rPr>
        <w:t>Федеральнного</w:t>
      </w:r>
      <w:proofErr w:type="spellEnd"/>
      <w:r w:rsidRPr="002426A5">
        <w:rPr>
          <w:rFonts w:ascii="Times New Roman" w:hAnsi="Times New Roman"/>
          <w:sz w:val="28"/>
          <w:szCs w:val="28"/>
        </w:rPr>
        <w:t xml:space="preserve"> закона от 25.12.2008 № 273-ФЗ «О противодействии коррупции», в соответствии с Методическими рекомендациями по разработке и принятию организациями мер по предупреждению и противодействию </w:t>
      </w:r>
      <w:proofErr w:type="spellStart"/>
      <w:r w:rsidRPr="002426A5">
        <w:rPr>
          <w:rFonts w:ascii="Times New Roman" w:hAnsi="Times New Roman"/>
          <w:sz w:val="28"/>
          <w:szCs w:val="28"/>
        </w:rPr>
        <w:t>коррупциии</w:t>
      </w:r>
      <w:proofErr w:type="spellEnd"/>
      <w:r w:rsidRPr="002426A5">
        <w:rPr>
          <w:rFonts w:ascii="Times New Roman" w:hAnsi="Times New Roman"/>
          <w:sz w:val="28"/>
          <w:szCs w:val="28"/>
        </w:rPr>
        <w:t>.</w:t>
      </w:r>
      <w:proofErr w:type="gramEnd"/>
    </w:p>
    <w:p w:rsidR="009D2FE6" w:rsidRPr="002426A5" w:rsidRDefault="009D2FE6" w:rsidP="009D2FE6">
      <w:pPr>
        <w:widowControl w:val="0"/>
        <w:numPr>
          <w:ilvl w:val="0"/>
          <w:numId w:val="2"/>
        </w:numPr>
        <w:tabs>
          <w:tab w:val="left" w:pos="0"/>
        </w:tabs>
        <w:spacing w:after="0"/>
        <w:ind w:left="1353" w:hanging="360"/>
        <w:jc w:val="both"/>
        <w:rPr>
          <w:rFonts w:ascii="Times New Roman" w:hAnsi="Times New Roman"/>
          <w:sz w:val="28"/>
          <w:szCs w:val="28"/>
        </w:rPr>
      </w:pPr>
      <w:r w:rsidRPr="002426A5">
        <w:rPr>
          <w:rFonts w:ascii="Times New Roman" w:hAnsi="Times New Roman"/>
          <w:sz w:val="28"/>
          <w:szCs w:val="28"/>
        </w:rPr>
        <w:t>Действия настоящего Порядка распространяются на всех работников Учреждения вне зависимости от уровня занимаемой должности.</w:t>
      </w:r>
    </w:p>
    <w:p w:rsidR="009D2FE6" w:rsidRPr="002426A5" w:rsidRDefault="009D2FE6" w:rsidP="009D2FE6">
      <w:pPr>
        <w:widowControl w:val="0"/>
        <w:numPr>
          <w:ilvl w:val="0"/>
          <w:numId w:val="2"/>
        </w:numPr>
        <w:tabs>
          <w:tab w:val="left" w:pos="0"/>
          <w:tab w:val="left" w:pos="510"/>
        </w:tabs>
        <w:spacing w:after="0"/>
        <w:ind w:left="1353" w:hanging="360"/>
        <w:jc w:val="both"/>
        <w:rPr>
          <w:rFonts w:ascii="Times New Roman" w:hAnsi="Times New Roman"/>
          <w:sz w:val="28"/>
          <w:szCs w:val="28"/>
        </w:rPr>
      </w:pPr>
      <w:r w:rsidRPr="002426A5">
        <w:rPr>
          <w:rFonts w:ascii="Times New Roman" w:hAnsi="Times New Roman"/>
          <w:sz w:val="28"/>
          <w:szCs w:val="28"/>
        </w:rPr>
        <w:t>Термины и определения.</w:t>
      </w:r>
    </w:p>
    <w:p w:rsidR="009D2FE6" w:rsidRPr="002426A5" w:rsidRDefault="009D2FE6" w:rsidP="009D2FE6">
      <w:pPr>
        <w:widowControl w:val="0"/>
        <w:numPr>
          <w:ilvl w:val="0"/>
          <w:numId w:val="3"/>
        </w:numPr>
        <w:tabs>
          <w:tab w:val="left" w:pos="0"/>
          <w:tab w:val="left" w:pos="75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26A5">
        <w:rPr>
          <w:rFonts w:ascii="Times New Roman" w:hAnsi="Times New Roman"/>
          <w:sz w:val="28"/>
          <w:szCs w:val="28"/>
        </w:rPr>
        <w:t>Работники Учреждения - физические лица, состоящие с Учреждением в трудовых отношениях на основании трудового договора.</w:t>
      </w:r>
    </w:p>
    <w:p w:rsidR="009D2FE6" w:rsidRPr="002426A5" w:rsidRDefault="009D2FE6" w:rsidP="009D2FE6">
      <w:pPr>
        <w:widowControl w:val="0"/>
        <w:numPr>
          <w:ilvl w:val="0"/>
          <w:numId w:val="3"/>
        </w:numPr>
        <w:tabs>
          <w:tab w:val="left" w:pos="0"/>
          <w:tab w:val="left" w:pos="75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26A5">
        <w:rPr>
          <w:rFonts w:ascii="Times New Roman" w:hAnsi="Times New Roman"/>
          <w:sz w:val="28"/>
          <w:szCs w:val="28"/>
        </w:rPr>
        <w:t>Коррупция - злоупотребление служебным положением, дача взятки, получение взятки, злоупотребление полномочиями, коммерческий подкуп, либо иное незаконное использование физическим лицом своего должностного положения вопреки законным интересам общества или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третьих, лиц либо незаконное представление такой выгоды указанному лицу другими физическими лицами</w:t>
      </w:r>
      <w:proofErr w:type="gramEnd"/>
      <w:r w:rsidRPr="002426A5">
        <w:rPr>
          <w:rFonts w:ascii="Times New Roman" w:hAnsi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лица.</w:t>
      </w:r>
    </w:p>
    <w:p w:rsidR="009D2FE6" w:rsidRDefault="009D2FE6" w:rsidP="009D2FE6">
      <w:pPr>
        <w:widowControl w:val="0"/>
        <w:numPr>
          <w:ilvl w:val="0"/>
          <w:numId w:val="3"/>
        </w:numPr>
        <w:tabs>
          <w:tab w:val="left" w:pos="745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26A5">
        <w:rPr>
          <w:rFonts w:ascii="Times New Roman" w:hAnsi="Times New Roman"/>
          <w:sz w:val="28"/>
          <w:szCs w:val="28"/>
        </w:rPr>
        <w:t>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:rsidR="009D2FE6" w:rsidRDefault="009D2FE6" w:rsidP="009D2FE6">
      <w:pPr>
        <w:widowControl w:val="0"/>
        <w:tabs>
          <w:tab w:val="left" w:pos="745"/>
          <w:tab w:val="left" w:pos="127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FE6" w:rsidRPr="002426A5" w:rsidRDefault="009D2FE6" w:rsidP="009D2FE6">
      <w:pPr>
        <w:widowControl w:val="0"/>
        <w:tabs>
          <w:tab w:val="left" w:pos="745"/>
          <w:tab w:val="left" w:pos="127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FE6" w:rsidRPr="002426A5" w:rsidRDefault="009D2FE6" w:rsidP="009D2FE6">
      <w:pPr>
        <w:widowControl w:val="0"/>
        <w:numPr>
          <w:ilvl w:val="0"/>
          <w:numId w:val="3"/>
        </w:numPr>
        <w:tabs>
          <w:tab w:val="left" w:pos="745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26A5">
        <w:rPr>
          <w:rFonts w:ascii="Times New Roman" w:hAnsi="Times New Roman"/>
          <w:sz w:val="28"/>
          <w:szCs w:val="28"/>
        </w:rPr>
        <w:lastRenderedPageBreak/>
        <w:t>Формальные санкции - меры воздействия, применяемые в соответствии с определенными правилами (например, меры дисциплинированного взыскания) в отношении работника, сообщившего о коррупционных правонарушениях в деятельности учреждения.</w:t>
      </w:r>
    </w:p>
    <w:p w:rsidR="009D2FE6" w:rsidRPr="002426A5" w:rsidRDefault="009D2FE6" w:rsidP="009D2FE6">
      <w:pPr>
        <w:widowControl w:val="0"/>
        <w:numPr>
          <w:ilvl w:val="0"/>
          <w:numId w:val="3"/>
        </w:numPr>
        <w:tabs>
          <w:tab w:val="left" w:pos="745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26A5">
        <w:rPr>
          <w:rFonts w:ascii="Times New Roman" w:hAnsi="Times New Roman"/>
          <w:sz w:val="28"/>
          <w:szCs w:val="28"/>
        </w:rPr>
        <w:t>Неформальные санкции - 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 в деятельности учреждения.</w:t>
      </w:r>
    </w:p>
    <w:p w:rsidR="009D2FE6" w:rsidRPr="00FA1D8C" w:rsidRDefault="009D2FE6" w:rsidP="009D2FE6">
      <w:pPr>
        <w:pStyle w:val="100"/>
        <w:numPr>
          <w:ilvl w:val="0"/>
          <w:numId w:val="8"/>
        </w:numPr>
        <w:shd w:val="clear" w:color="auto" w:fill="auto"/>
        <w:tabs>
          <w:tab w:val="left" w:pos="1444"/>
        </w:tabs>
        <w:spacing w:before="0" w:line="276" w:lineRule="auto"/>
      </w:pPr>
      <w:r w:rsidRPr="00FA1D8C">
        <w:t>Порядок защиты работников, сообщивших о коррупционных правонарушениях в Учреждении</w:t>
      </w:r>
    </w:p>
    <w:p w:rsidR="009D2FE6" w:rsidRPr="00FA1D8C" w:rsidRDefault="009D2FE6" w:rsidP="009D2FE6">
      <w:pPr>
        <w:pStyle w:val="a4"/>
        <w:widowControl w:val="0"/>
        <w:numPr>
          <w:ilvl w:val="1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FA1D8C">
        <w:rPr>
          <w:rFonts w:ascii="Times New Roman" w:eastAsia="Times New Roman" w:hAnsi="Times New Roman"/>
          <w:sz w:val="28"/>
          <w:szCs w:val="28"/>
          <w:lang w:bidi="ru-RU"/>
        </w:rPr>
        <w:t>Защита работников, сообщивших о коррупционных правонарушениях в деятельности Учреждения, от формальных и неформальных санкций - это совокупность мер по обеспечению их защиты работодателем на время проведения процедур проверки сообщения о коррупционном правонарушении, а в случае необходимости и после их окончания.</w:t>
      </w:r>
    </w:p>
    <w:p w:rsidR="009D2FE6" w:rsidRPr="00FA1D8C" w:rsidRDefault="009D2FE6" w:rsidP="009D2FE6">
      <w:pPr>
        <w:pStyle w:val="a4"/>
        <w:widowControl w:val="0"/>
        <w:numPr>
          <w:ilvl w:val="1"/>
          <w:numId w:val="6"/>
        </w:numPr>
        <w:tabs>
          <w:tab w:val="left" w:pos="-2835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FA1D8C">
        <w:rPr>
          <w:rFonts w:ascii="Times New Roman" w:eastAsia="Times New Roman" w:hAnsi="Times New Roman"/>
          <w:sz w:val="28"/>
          <w:szCs w:val="28"/>
          <w:lang w:bidi="ru-RU"/>
        </w:rPr>
        <w:t>Для эффективной защиты работников, сообщивших о коррупционных правонарушениях, применяется комплекс мер, который включает в себя:</w:t>
      </w:r>
    </w:p>
    <w:p w:rsidR="009D2FE6" w:rsidRPr="00FA1D8C" w:rsidRDefault="009D2FE6" w:rsidP="009D2FE6">
      <w:pPr>
        <w:widowControl w:val="0"/>
        <w:numPr>
          <w:ilvl w:val="0"/>
          <w:numId w:val="5"/>
        </w:num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FA1D8C">
        <w:rPr>
          <w:rFonts w:ascii="Times New Roman" w:eastAsia="Times New Roman" w:hAnsi="Times New Roman"/>
          <w:sz w:val="28"/>
          <w:szCs w:val="28"/>
          <w:lang w:bidi="ru-RU"/>
        </w:rPr>
        <w:t>Обеспечение конфиденциальности сведений о работнике, сообщившем о коррупционных правонарушениях в деятельности Учреждения.</w:t>
      </w:r>
    </w:p>
    <w:p w:rsidR="009D2FE6" w:rsidRPr="00C7349A" w:rsidRDefault="009D2FE6" w:rsidP="009D2FE6">
      <w:pPr>
        <w:widowControl w:val="0"/>
        <w:numPr>
          <w:ilvl w:val="0"/>
          <w:numId w:val="5"/>
        </w:num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FA1D8C">
        <w:rPr>
          <w:rFonts w:ascii="Times New Roman" w:eastAsia="Times New Roman" w:hAnsi="Times New Roman"/>
          <w:sz w:val="28"/>
          <w:szCs w:val="28"/>
          <w:lang w:bidi="ru-RU"/>
        </w:rPr>
        <w:t xml:space="preserve">Защиту от неправомерного увольнения и иных ущемлений прав и законных интересов в рамках исполнения должностных обязанностей и осуществления полномочий, а именно, обеспечение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</w:t>
      </w:r>
      <w:r w:rsidRPr="00C7349A">
        <w:rPr>
          <w:rFonts w:ascii="Times New Roman" w:eastAsia="Times New Roman" w:hAnsi="Times New Roman"/>
          <w:sz w:val="28"/>
          <w:szCs w:val="28"/>
          <w:lang w:bidi="ru-RU"/>
        </w:rPr>
        <w:t>отпуска, привлечение к дисциплинарной ответственности в период рассмотрения представленного работником уведомления.</w:t>
      </w:r>
    </w:p>
    <w:p w:rsidR="009D2FE6" w:rsidRPr="00C7349A" w:rsidRDefault="009D2FE6" w:rsidP="009D2FE6">
      <w:pPr>
        <w:widowControl w:val="0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49A">
        <w:rPr>
          <w:rFonts w:ascii="Times New Roman" w:hAnsi="Times New Roman"/>
          <w:sz w:val="28"/>
          <w:szCs w:val="28"/>
        </w:rPr>
        <w:t>В случае привлечения к дисциплинарной ответственности работника, сообщившего о коррупционных правонарушениях в деятельности Учреждения, обоснованность такого решения рассматривается на заседании комиссии Учреждения по противодействию коррупции.</w:t>
      </w:r>
    </w:p>
    <w:p w:rsidR="009D2FE6" w:rsidRPr="00C7349A" w:rsidRDefault="009D2FE6" w:rsidP="009D2FE6">
      <w:pPr>
        <w:widowControl w:val="0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349A">
        <w:rPr>
          <w:rFonts w:ascii="Times New Roman" w:hAnsi="Times New Roman"/>
          <w:b/>
          <w:sz w:val="28"/>
          <w:szCs w:val="28"/>
        </w:rPr>
        <w:t>Ответственность</w:t>
      </w:r>
    </w:p>
    <w:p w:rsidR="009D2FE6" w:rsidRPr="00FA1D8C" w:rsidRDefault="009D2FE6" w:rsidP="009D2FE6">
      <w:pPr>
        <w:ind w:firstLine="760"/>
        <w:jc w:val="both"/>
        <w:rPr>
          <w:rFonts w:ascii="Times New Roman" w:hAnsi="Times New Roman"/>
          <w:b/>
          <w:sz w:val="28"/>
          <w:szCs w:val="28"/>
        </w:rPr>
      </w:pPr>
      <w:r w:rsidRPr="00C7349A">
        <w:rPr>
          <w:rFonts w:ascii="Times New Roman" w:hAnsi="Times New Roman"/>
          <w:sz w:val="28"/>
          <w:szCs w:val="28"/>
        </w:rPr>
        <w:t>В случае сообщения работником заведомо ложной информации, несоответствующей действительности, либо информации, порочащей честь и</w:t>
      </w:r>
      <w:r w:rsidRPr="00FA1D8C">
        <w:rPr>
          <w:rFonts w:ascii="Times New Roman" w:hAnsi="Times New Roman"/>
          <w:sz w:val="28"/>
          <w:szCs w:val="28"/>
        </w:rPr>
        <w:t xml:space="preserve"> достоинство другого работника Учреждения, он может быть привлечён к ответственности в рамках действующего законодательства.</w:t>
      </w:r>
    </w:p>
    <w:p w:rsidR="009D2FE6" w:rsidRDefault="009D2FE6" w:rsidP="009D2FE6">
      <w:pPr>
        <w:tabs>
          <w:tab w:val="left" w:pos="3633"/>
          <w:tab w:val="center" w:pos="4677"/>
        </w:tabs>
        <w:autoSpaceDE w:val="0"/>
        <w:autoSpaceDN w:val="0"/>
        <w:adjustRightInd w:val="0"/>
        <w:spacing w:line="240" w:lineRule="auto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ab/>
      </w:r>
      <w:bookmarkStart w:id="0" w:name="_GoBack"/>
      <w:bookmarkEnd w:id="0"/>
    </w:p>
    <w:sectPr w:rsidR="009D2FE6" w:rsidSect="009D2FE6">
      <w:pgSz w:w="11906" w:h="16838"/>
      <w:pgMar w:top="510" w:right="849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CC1"/>
    <w:multiLevelType w:val="multilevel"/>
    <w:tmpl w:val="CCAC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F5877"/>
    <w:multiLevelType w:val="multilevel"/>
    <w:tmpl w:val="4C62C8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0E053D"/>
    <w:multiLevelType w:val="multilevel"/>
    <w:tmpl w:val="40126E72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87C62"/>
    <w:multiLevelType w:val="multilevel"/>
    <w:tmpl w:val="1CB22D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1011BC"/>
    <w:multiLevelType w:val="hybridMultilevel"/>
    <w:tmpl w:val="33B041C2"/>
    <w:lvl w:ilvl="0" w:tplc="F250A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B5045"/>
    <w:multiLevelType w:val="multilevel"/>
    <w:tmpl w:val="7F404C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1D7C76"/>
    <w:multiLevelType w:val="multilevel"/>
    <w:tmpl w:val="38961C4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B1022F"/>
    <w:multiLevelType w:val="multilevel"/>
    <w:tmpl w:val="D898D6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7A"/>
    <w:rsid w:val="0005556B"/>
    <w:rsid w:val="00065E5D"/>
    <w:rsid w:val="000D01A3"/>
    <w:rsid w:val="001618D7"/>
    <w:rsid w:val="00235112"/>
    <w:rsid w:val="002F3FA4"/>
    <w:rsid w:val="00471D79"/>
    <w:rsid w:val="004E09DA"/>
    <w:rsid w:val="005857D7"/>
    <w:rsid w:val="005965FF"/>
    <w:rsid w:val="006E1751"/>
    <w:rsid w:val="007F7885"/>
    <w:rsid w:val="00807D12"/>
    <w:rsid w:val="00854AB2"/>
    <w:rsid w:val="00907A7A"/>
    <w:rsid w:val="00971DC4"/>
    <w:rsid w:val="009826A7"/>
    <w:rsid w:val="009D2FE6"/>
    <w:rsid w:val="00A4197B"/>
    <w:rsid w:val="00B348C9"/>
    <w:rsid w:val="00C31966"/>
    <w:rsid w:val="00DD57B0"/>
    <w:rsid w:val="00E83904"/>
    <w:rsid w:val="00E97CF9"/>
    <w:rsid w:val="00EB7A69"/>
    <w:rsid w:val="00F30450"/>
    <w:rsid w:val="00F85D3E"/>
    <w:rsid w:val="00F9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7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9D2FE6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A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4197B"/>
    <w:pPr>
      <w:ind w:left="720"/>
      <w:contextualSpacing/>
    </w:pPr>
  </w:style>
  <w:style w:type="character" w:customStyle="1" w:styleId="10">
    <w:name w:val="Основной текст (10)_"/>
    <w:link w:val="100"/>
    <w:rsid w:val="00E839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E839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E83904"/>
    <w:pPr>
      <w:widowControl w:val="0"/>
      <w:shd w:val="clear" w:color="auto" w:fill="FFFFFF"/>
      <w:spacing w:before="600" w:after="0" w:line="322" w:lineRule="exact"/>
      <w:ind w:hanging="196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83904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60">
    <w:name w:val="Заголовок 6 Знак"/>
    <w:basedOn w:val="a0"/>
    <w:link w:val="6"/>
    <w:rsid w:val="009D2FE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D2F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D2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9D2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7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9D2FE6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A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4197B"/>
    <w:pPr>
      <w:ind w:left="720"/>
      <w:contextualSpacing/>
    </w:pPr>
  </w:style>
  <w:style w:type="character" w:customStyle="1" w:styleId="10">
    <w:name w:val="Основной текст (10)_"/>
    <w:link w:val="100"/>
    <w:rsid w:val="00E839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E839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E83904"/>
    <w:pPr>
      <w:widowControl w:val="0"/>
      <w:shd w:val="clear" w:color="auto" w:fill="FFFFFF"/>
      <w:spacing w:before="600" w:after="0" w:line="322" w:lineRule="exact"/>
      <w:ind w:hanging="196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83904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60">
    <w:name w:val="Заголовок 6 Знак"/>
    <w:basedOn w:val="a0"/>
    <w:link w:val="6"/>
    <w:rsid w:val="009D2FE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D2F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D2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9D2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Ратушная Ольга Николаевна</dc:creator>
  <cp:lastModifiedBy>огонек</cp:lastModifiedBy>
  <cp:revision>3</cp:revision>
  <cp:lastPrinted>2020-01-27T13:22:00Z</cp:lastPrinted>
  <dcterms:created xsi:type="dcterms:W3CDTF">2024-10-11T08:27:00Z</dcterms:created>
  <dcterms:modified xsi:type="dcterms:W3CDTF">2024-10-11T08:27:00Z</dcterms:modified>
</cp:coreProperties>
</file>